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095" w14:textId="77777777" w:rsidR="002B7535" w:rsidRPr="002B7535" w:rsidRDefault="002B7535" w:rsidP="002B7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СПОРАЗУМЕНИЕ</w:t>
      </w:r>
    </w:p>
    <w:p w14:paraId="02EBE886" w14:textId="54D79F81" w:rsidR="002B7535" w:rsidRPr="002B7535" w:rsidRDefault="002B7535" w:rsidP="002B7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ПО ОСНОВНИТЕ ИДЕИ И ПРИНЦИПИ НА ЗАКОНОПРОЕКТА ЗА ИЗМЕНЕНИЕ И ДОПЪЛНЕНИЕ НА КОНСТИТУЦИЯТА НА НАРОДНА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РЕПУБЛИКА БЪЛГАРИЯ</w:t>
      </w:r>
    </w:p>
    <w:p w14:paraId="2F441746" w14:textId="2269EFBC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Участниците в Националната кръгла маса постигнаха съгласие по основните идеи и принципи на законопроекта за изменение и допълнение на Конституцията на Народна република България.</w:t>
      </w:r>
    </w:p>
    <w:p w14:paraId="623DB3EB" w14:textId="510EDE91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Промяната на Конституцията е необходимо условие за по-нататъшното осъществяване на мирния и легален преход към демокрация. Предлаганите изменения са поредна стъпка в посока към цялостна конституционна реформа на обществената система.</w:t>
      </w:r>
    </w:p>
    <w:p w14:paraId="742C26E5" w14:textId="5A292306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съответствие със Споразумението по политическата система участниците в Националната кръгла маса се съгласиха по следните основни положения, които да бъдат отразени в Закона за изменение и допълнение на Конституцията.</w:t>
      </w:r>
    </w:p>
    <w:p w14:paraId="5CDD07F1" w14:textId="44AE9498" w:rsidR="002B7535" w:rsidRPr="002B7535" w:rsidRDefault="002B7535" w:rsidP="002B7535">
      <w:pPr>
        <w:pStyle w:val="1"/>
      </w:pPr>
      <w:r w:rsidRPr="002B7535">
        <w:t>I.</w:t>
      </w:r>
      <w:r>
        <w:tab/>
      </w:r>
      <w:r w:rsidRPr="002B7535">
        <w:t>ПО ОБЩИТЕ ПРИНЦИПИ НА ПОЛИТИЧЕСКАТА СИСТЕМА</w:t>
      </w:r>
    </w:p>
    <w:p w14:paraId="26867FFE" w14:textId="5C23A22C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</w:t>
      </w: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Възприемат определението на Народна република България като демократична и правова държава.</w:t>
      </w:r>
    </w:p>
    <w:p w14:paraId="10E90C24" w14:textId="58C1CD62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2.</w:t>
      </w: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конституционния текст като основно начало на политическата система да се включат принципите на политическия плурализъм, демократизъм и хуманизъм.</w:t>
      </w:r>
    </w:p>
    <w:p w14:paraId="578384E3" w14:textId="442241C3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конституционния текст да се посочи, че народната република е единна и неделима, като държавата признава и съдейства за развитието на местното самоуправление, което се урежда със закон.</w:t>
      </w:r>
    </w:p>
    <w:p w14:paraId="6B8DE110" w14:textId="017606F2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се осъществи последователна и пълна деидеологизация на конституционните текстове.</w:t>
      </w:r>
    </w:p>
    <w:p w14:paraId="3D001288" w14:textId="022F8470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Българският език да се обяви за официален език в НР България.</w:t>
      </w:r>
    </w:p>
    <w:p w14:paraId="46D3BEA7" w14:textId="58CC4917" w:rsidR="002B7535" w:rsidRPr="002B7535" w:rsidRDefault="002B7535" w:rsidP="002B7535">
      <w:pPr>
        <w:pStyle w:val="1"/>
        <w:rPr>
          <w:sz w:val="27"/>
          <w:szCs w:val="27"/>
        </w:rPr>
      </w:pPr>
      <w:r w:rsidRPr="002B7535">
        <w:t>II.</w:t>
      </w:r>
      <w:r>
        <w:tab/>
      </w:r>
      <w:r w:rsidRPr="002B7535">
        <w:t>ПО ИКОНОМИЧЕСКАТА СИСТЕМА</w:t>
      </w:r>
    </w:p>
    <w:p w14:paraId="4445DEF0" w14:textId="1BCD2A31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Икономическата система на НР България да се основава на свободната инициатива и стопанската конкуренция при всички равнопоставени форми на собственост, като същевременно е насочена към увеличаване на благосъстоянието на цялото общество.</w:t>
      </w:r>
    </w:p>
    <w:p w14:paraId="478687F6" w14:textId="0DAEE7BE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условията на пазарна икономика държавата да поема закрилата върху социално слабите слоеве от населението, а безработицата да се установи по конституционен ред като един от основ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oftHyphen/>
        <w:t>ните осигурени социални рискове.</w:t>
      </w:r>
    </w:p>
    <w:p w14:paraId="0F1ABBFE" w14:textId="4FCB8088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Конституцията да се ограничат обектите на изключителна държавна собственост и да се посочат основните обекти на общинска собственост.</w:t>
      </w:r>
    </w:p>
    <w:p w14:paraId="0FAAA7AA" w14:textId="48633ADF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Държавното регулиране на стопанската дейност да се осъществява с икономически средства, като при това не се допуска установяването на монопол, нелоялната конкуренция и нарушаване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oftHyphen/>
        <w:t>то на правата на потребителите.</w:t>
      </w:r>
    </w:p>
    <w:p w14:paraId="20EED490" w14:textId="5F807B15" w:rsidR="002B7535" w:rsidRPr="002B7535" w:rsidRDefault="002B7535" w:rsidP="002B7535">
      <w:pPr>
        <w:pStyle w:val="1"/>
        <w:rPr>
          <w:sz w:val="27"/>
          <w:szCs w:val="27"/>
        </w:rPr>
      </w:pPr>
      <w:r w:rsidRPr="002B7535">
        <w:t>III.</w:t>
      </w:r>
      <w:r>
        <w:tab/>
      </w:r>
      <w:r w:rsidRPr="002B7535">
        <w:t>ПО ОСНОВНИТЕ ПРАВА И СВОБОДИ НА ГРАЖДАНИТЕ</w:t>
      </w:r>
    </w:p>
    <w:p w14:paraId="055D6DCF" w14:textId="35368D3B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се установят правни механизми и да се създават реални условия за осъществяването на конституционните права и свободи на гражданите в съответствие с международните актове, подписани от НР България.</w:t>
      </w:r>
    </w:p>
    <w:p w14:paraId="6C4A5B57" w14:textId="3F79930F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конституционния текст специално да се определи роля на политическите партии като една от основните форми за сдружаване на гражданите и тяхното свободно участие в политическия живот на страната.</w:t>
      </w:r>
    </w:p>
    <w:p w14:paraId="7B9EFAD5" w14:textId="5205582F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Конституционното определение за свободата на изповеданията да се приведе в съответствие с международно приетите норми.</w:t>
      </w:r>
    </w:p>
    <w:p w14:paraId="1D09C2AE" w14:textId="67E71219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Свободата на мнение да се обособи в отделен текст и да се формулира в разгърнат вид.</w:t>
      </w:r>
    </w:p>
    <w:p w14:paraId="1A7E4616" w14:textId="6B30267F" w:rsidR="002B7535" w:rsidRPr="002B7535" w:rsidRDefault="002B7535" w:rsidP="002B7535">
      <w:pPr>
        <w:pStyle w:val="1"/>
        <w:rPr>
          <w:sz w:val="27"/>
          <w:szCs w:val="27"/>
        </w:rPr>
      </w:pPr>
      <w:r w:rsidRPr="002B7535">
        <w:t>IV.</w:t>
      </w:r>
      <w:r>
        <w:tab/>
      </w:r>
      <w:r w:rsidRPr="002B7535">
        <w:t>ЗА ОРГАНИЗАЦИЯТА НА ДЪРЖАВНАТА ВЛАСТ ПРИ ПРЕХОДА КЪМ ПАРЛАМЕНТАРНА ДЕМОКРАЦИЯ</w:t>
      </w:r>
    </w:p>
    <w:p w14:paraId="7953684B" w14:textId="02EB98FC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 прехода към парламентарна демокрация последователно да се прилага основополагащият принцип на разделяне на властите в съответствие с общоприетите стандарти на парламентарните демокрации и конституционни гаранции срещу прекомерно съсредоточаване и злоупотреба с властта от отделни лица или институции.</w:t>
      </w:r>
    </w:p>
    <w:p w14:paraId="0FD50F31" w14:textId="1E3C13F7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C1D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lastRenderedPageBreak/>
        <w:t>2.</w:t>
      </w:r>
      <w:r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Новоизбраното Велико народно събрание в срок от една година и половина да изработи и приеме нова Конституция на страната и да реши да се проведе референдум, чрез който народът да я утвърди. Едновременно с това то да функционира като работещ парламент, като приема всички закони и други актове, необходими за нормалната дейност на държавата.</w:t>
      </w:r>
    </w:p>
    <w:p w14:paraId="7BB48DB5" w14:textId="2BEF99BE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 приемането на нова Конституция Великото народно събрание може да внася промени в действащата Конституция, освен в разпоредбите, отнасящи се до държавния глава.</w:t>
      </w:r>
    </w:p>
    <w:p w14:paraId="58AD60D3" w14:textId="30DB9DA5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Участниците в Националната кръгла маса изразяват мнението, че след приемането на </w:t>
      </w:r>
      <w:r w:rsidRPr="00FC1D29">
        <w:rPr>
          <w:rFonts w:ascii="Times New Roman" w:eastAsia="Times New Roman" w:hAnsi="Times New Roman" w:cs="Times New Roman"/>
          <w:sz w:val="20"/>
          <w:szCs w:val="20"/>
          <w:lang w:eastAsia="bg-BG"/>
        </w:rPr>
        <w:t>новата Конституция</w:t>
      </w:r>
      <w:r w:rsidRPr="00646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 xml:space="preserve"> 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Великото народно събрание единствено може да реши да прекрати или да продължи своята дейност, в съответствие с разпоредбите на новата конституция.</w:t>
      </w:r>
    </w:p>
    <w:p w14:paraId="0E68531A" w14:textId="24CD42E8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Великото народно събрание да функционира като постоянно работещ законодателен орган.</w:t>
      </w:r>
    </w:p>
    <w:p w14:paraId="5348B4C2" w14:textId="364AED41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Великото народно събрание да се състои от 400 народни представители.</w:t>
      </w:r>
    </w:p>
    <w:p w14:paraId="274B45AD" w14:textId="0E260ADF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Участниците в Кръглата маса изразяват своето съгласие с промените в гл. V на Конституцията да бъде отменена институцията Държавен съвет на НРБ. Същевременно да се определи статутът на държавния глава – председател (президент) на републиката, който в сегашните условия да бъде избран от Народното събрание.</w:t>
      </w:r>
    </w:p>
    <w:p w14:paraId="0DBCD777" w14:textId="70DD5900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Участниците в Кръглата маса изразяват своето съгласие за държавен глава на страната да бъде избран действащият председател на Държавния съвет на НРБ.</w:t>
      </w:r>
    </w:p>
    <w:p w14:paraId="20A2AD00" w14:textId="70853359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новата Конституция на страната да се регламентира формата н</w:t>
      </w:r>
      <w:r w:rsidR="00FC1D2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bg-BG"/>
        </w:rPr>
        <w:t>a</w:t>
      </w:r>
      <w:r w:rsidR="00FC1D29"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държавно управление, включително функциите и мандатът на държавния глава.</w:t>
      </w:r>
    </w:p>
    <w:p w14:paraId="1BD39864" w14:textId="7D0CB0A0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измененията в действащата Конституция да се определят следните правомощия на държавния глава:</w:t>
      </w:r>
    </w:p>
    <w:p w14:paraId="1F8A016F" w14:textId="74F22C3D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олицетворява единството на народа и да гарантира суверенитета, териториалната цялост, отбраната и националната сигурност на страната;</w:t>
      </w:r>
    </w:p>
    <w:p w14:paraId="0C65AF48" w14:textId="24AFB542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осигурява функционирането на държавните органи според Конституцията и законите;</w:t>
      </w:r>
    </w:p>
    <w:p w14:paraId="34021A39" w14:textId="13AE0515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представлява държавата в страната и международните отношения;</w:t>
      </w:r>
    </w:p>
    <w:p w14:paraId="4FB4D7F8" w14:textId="20B1D1CF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назначава правителство, след като неговата програма и състав получат одобрение на парламента;</w:t>
      </w:r>
    </w:p>
    <w:p w14:paraId="67CE2812" w14:textId="442B63D9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отправя обръщения към народа и парламента;</w:t>
      </w:r>
    </w:p>
    <w:p w14:paraId="6AE438B7" w14:textId="3A1FE128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осъществява общо ръководство на отбраната и сигурността на страната и изпълнява функциите на главнокомандващ на Въоръжените сили;</w:t>
      </w:r>
    </w:p>
    <w:p w14:paraId="5060C030" w14:textId="1564C4FE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 назначава посланици, да приема акредитивни писма, да дава награди и звания, както и да взема решения за помилване, предоставяне на гражданство и право на убежище, да сключва международни договори, да осъществява и други представителни функции;</w:t>
      </w:r>
    </w:p>
    <w:p w14:paraId="2AB9C715" w14:textId="794FD4B7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изпълнение на своите правомощия издава укази и решения, които нямат нормативен характер;</w:t>
      </w:r>
    </w:p>
    <w:p w14:paraId="34173BB5" w14:textId="40F1F670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когато е застрашена сигурността на страната и териториалната й цялост, при стихийни бедс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oftHyphen/>
        <w:t>твия и в случаите, когато е нарушено функционирането на органите на държавната власт, в съответствие с Конституцията и законите може да обяви обща и частична мобилизация или извънредно положение по предложение на Министерския съвет, когато Народното събрание не заседава. В такива случаи Народното събрание се свиква незабавно, за да вземе решение;</w:t>
      </w:r>
    </w:p>
    <w:p w14:paraId="7A5A68BD" w14:textId="4BC62458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обявява положение на война при въоръжено нападение срещу Народна република България или при необходимост от неотложно изпълнение на международно задължение за взаимна отбра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oftHyphen/>
        <w:t>на, ако Народното събрание не заседава и не може да бъде свикано. В тези случаи Народното събрание се свиква незабавно, за да се произнесе по решението;</w:t>
      </w:r>
    </w:p>
    <w:p w14:paraId="797120A1" w14:textId="29B751F6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не може да изпълнява други ръководни държавни, политически, обществени и стопански функции, да бъде член на ръководството на партия или да бъде народен представител.</w:t>
      </w:r>
    </w:p>
    <w:p w14:paraId="03FDB801" w14:textId="43E88EE0" w:rsidR="002B7535" w:rsidRPr="002B7535" w:rsidRDefault="002B7535" w:rsidP="002B7535">
      <w:pPr>
        <w:pStyle w:val="1"/>
        <w:rPr>
          <w:sz w:val="27"/>
          <w:szCs w:val="27"/>
        </w:rPr>
      </w:pPr>
      <w:r w:rsidRPr="002B7535">
        <w:t>V.</w:t>
      </w:r>
      <w:r>
        <w:tab/>
      </w:r>
      <w:r w:rsidRPr="002B7535">
        <w:t>ПО СТАТУТА НА ПРАВИТЕЛСТВОТО</w:t>
      </w:r>
    </w:p>
    <w:p w14:paraId="3788A70D" w14:textId="397FBC2E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Необходимо е създаването на силно, компетентно и отговорно правителство, което, осъществявайки пълноценно своите функции, да е в състояние да провежда последователна политика, насочена към извеждането на страната от икономическата криза и прехода към пазарна икономика.</w:t>
      </w:r>
    </w:p>
    <w:p w14:paraId="107D6967" w14:textId="52D71170" w:rsidR="002B7535" w:rsidRPr="002B7535" w:rsidRDefault="002B7535" w:rsidP="002B7535">
      <w:pPr>
        <w:pStyle w:val="1"/>
        <w:rPr>
          <w:sz w:val="27"/>
          <w:szCs w:val="27"/>
        </w:rPr>
      </w:pPr>
      <w:r w:rsidRPr="002B7535">
        <w:lastRenderedPageBreak/>
        <w:t>VI.</w:t>
      </w:r>
      <w:r>
        <w:tab/>
      </w:r>
      <w:r w:rsidRPr="002B7535">
        <w:t>МЕСТНО УПРАВЛЕНИЕ</w:t>
      </w:r>
    </w:p>
    <w:p w14:paraId="3641596E" w14:textId="0847E6C6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Участниците в Националната кръгла маса намират за необходимо скорошното провеждане на избори </w:t>
      </w:r>
      <w:r w:rsidRPr="002B75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за 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местни органи на управление, не по-късно от края на 1990 г.</w:t>
      </w:r>
    </w:p>
    <w:p w14:paraId="04108F9B" w14:textId="32453D0C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Изборите за Велико народно събрание да се произведат по смесена система, при която:</w:t>
      </w:r>
    </w:p>
    <w:p w14:paraId="0A61DB18" w14:textId="5C4934B2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200 депутатски мандата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да бъдат заети чрез преки избори на кандидати в едномандатни избирателни райони по мажоритарния принцип с мнозинство повече от половината от действителните гласове,</w:t>
      </w:r>
    </w:p>
    <w:p w14:paraId="671EDA85" w14:textId="245D1B9B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200 депутатски мандата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да бъдат заети въз основа на пропорционалния принцип чрез избори в многомандатни териториални райони по партийни листи;</w:t>
      </w:r>
    </w:p>
    <w:p w14:paraId="25B20000" w14:textId="3CDF2C23" w:rsidR="002B7535" w:rsidRPr="002B7535" w:rsidRDefault="002B7535" w:rsidP="002B7535">
      <w:pPr>
        <w:pStyle w:val="a3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всеки избирател да има </w:t>
      </w:r>
      <w:r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два гласа –</w:t>
      </w: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първи глас за избор на кандидат в едномандатен район и втори глас за избор по партийна листа.</w:t>
      </w:r>
    </w:p>
    <w:p w14:paraId="38B6D81E" w14:textId="06203F0A" w:rsidR="002B7535" w:rsidRPr="00FC1D29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Участниците в Националната кръгла маса ще подпишат </w:t>
      </w:r>
      <w:r w:rsidRPr="00FC1D2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Споразумението по основните положения за произвеждането на изборите за Велико народно събрание.</w:t>
      </w:r>
    </w:p>
    <w:p w14:paraId="598DC1C0" w14:textId="36B1DA15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Националната кръгла маса предлага на Народното събрание да отрази в законопроекта за изменение и допълнение на Конституцията на НРБ съгласуваните в работната група проекти за текстове, съгласно споразумението по политическата система.</w:t>
      </w:r>
    </w:p>
    <w:p w14:paraId="20494023" w14:textId="5992E3A4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София, 30 март 1990 г.</w:t>
      </w:r>
    </w:p>
    <w:p w14:paraId="4C8F8233" w14:textId="5C422EC1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B753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Съпредседатели на Националната кръгла маса: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371"/>
        <w:gridCol w:w="2371"/>
        <w:gridCol w:w="2371"/>
      </w:tblGrid>
      <w:tr w:rsidR="00FC1D29" w:rsidRPr="002B7535" w14:paraId="035EAABD" w14:textId="413C70E1" w:rsidTr="00FC1D29">
        <w:trPr>
          <w:trHeight w:val="333"/>
        </w:trPr>
        <w:tc>
          <w:tcPr>
            <w:tcW w:w="13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BAB1" w14:textId="4BC44316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7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Александър Лилов</w:t>
            </w:r>
          </w:p>
          <w:p w14:paraId="3374B9F4" w14:textId="1B1D82BB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7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(за Българската комунистическа партия)</w:t>
            </w:r>
            <w:r w:rsidRPr="002B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619E0F5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A600" w14:textId="7C88C5D1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7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Желю Желев</w:t>
            </w:r>
          </w:p>
          <w:p w14:paraId="23F83038" w14:textId="1BB21D5F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75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(за Съюза на демократичните сили)</w:t>
            </w:r>
            <w:r w:rsidRPr="002B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46C331B1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FC1D29" w:rsidRPr="002B7535" w14:paraId="5B024F0B" w14:textId="77777777" w:rsidTr="00FC1D29">
        <w:trPr>
          <w:trHeight w:val="333"/>
        </w:trPr>
        <w:tc>
          <w:tcPr>
            <w:tcW w:w="131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F2DA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14:paraId="4EE18EF4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06ED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14:paraId="39B4753C" w14:textId="77777777" w:rsidR="00FC1D29" w:rsidRPr="002B7535" w:rsidRDefault="00FC1D29" w:rsidP="002B75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2D039840" w14:textId="28497271" w:rsidR="002B7535" w:rsidRP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Следват подписите на ръководителите на делегациите, </w:t>
      </w:r>
      <w:proofErr w:type="spellStart"/>
      <w:r w:rsidRPr="002B75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участвуващи</w:t>
      </w:r>
      <w:proofErr w:type="spellEnd"/>
      <w:r w:rsidRPr="002B75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 в Националната кръгла маса.</w:t>
      </w:r>
    </w:p>
    <w:p w14:paraId="712DFBCE" w14:textId="3B7FC221" w:rsidR="002B7535" w:rsidRDefault="002B7535" w:rsidP="002B75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2B75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Подписали:</w:t>
      </w:r>
    </w:p>
    <w:p w14:paraId="502AA252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АЛЕКСАНДЪР КАРАКАЧАНОВ – за Зелената партия</w:t>
      </w:r>
    </w:p>
    <w:p w14:paraId="0EA1FD42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БЛАГОВЕСТ СЕНДОВ – народен представител</w:t>
      </w:r>
    </w:p>
    <w:p w14:paraId="777D7BCE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БОРИС КЮРКЧИЕВ – за Демократическата партия</w:t>
      </w:r>
    </w:p>
    <w:p w14:paraId="24037BD5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БРАНКО ДАВИДОВ – за Родопски съюз „Родолюбив"</w:t>
      </w:r>
    </w:p>
    <w:p w14:paraId="34B266BB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ВИКТОР ВЪЛКОВ – за БЗНС</w:t>
      </w:r>
    </w:p>
    <w:p w14:paraId="3B1BF14B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ГИНЬО ГАНЕВ – за Отечествения фронт</w:t>
      </w:r>
    </w:p>
    <w:p w14:paraId="3A04B086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ДИМИТЪР БАТАЛОВ – за Клуба на репресираните след 1945 г.</w:t>
      </w:r>
    </w:p>
    <w:p w14:paraId="60F4DC32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ДИМИТЪР АРНАУДОВ – за Общонародния комитет за защита на националните интереси</w:t>
      </w:r>
    </w:p>
    <w:p w14:paraId="2CB04A00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 xml:space="preserve">ЕЛКА КОНСТАНТИНОВА – за </w:t>
      </w:r>
      <w:proofErr w:type="spellStart"/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Радикалнодемократическата</w:t>
      </w:r>
      <w:proofErr w:type="spellEnd"/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 xml:space="preserve"> партия</w:t>
      </w:r>
    </w:p>
    <w:p w14:paraId="0213A1B1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ЕМИЛ КОШЛУКОВ – за Федерацията на независимите студентски дружества</w:t>
      </w:r>
    </w:p>
    <w:p w14:paraId="462EC5E9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ИВАН ВЕЛИНОВ – за Съюза на юристите в България</w:t>
      </w:r>
    </w:p>
    <w:p w14:paraId="0B6B67D9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КОНСТАНТИН ТЕЛЛАЛОВ – за Комитета по правата на човека</w:t>
      </w:r>
    </w:p>
    <w:p w14:paraId="327B9F0A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КОНСТАНТИН ТРЕНЧЕВ – за Независимата федерация на труда „Подкрепа"</w:t>
      </w:r>
    </w:p>
    <w:p w14:paraId="4B9106BE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КРЪСТЬО ПЕТКОВ – за Конфедерацията на независимите синдикати в България</w:t>
      </w:r>
    </w:p>
    <w:p w14:paraId="15BC8523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ЛЮБЕН КУЛИШЕВ – народен представител</w:t>
      </w:r>
    </w:p>
    <w:p w14:paraId="7C4C4895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ЛЮБОМИР СОБАДЖИЕВ – за движението „Гражданска инициатива"</w:t>
      </w:r>
    </w:p>
    <w:p w14:paraId="1589772A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МИЛАН ДРЕНЧЕВ – за БЗНС „Никола Петков"</w:t>
      </w:r>
    </w:p>
    <w:p w14:paraId="55AD43A0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МИХАИЛ ИВАНОВ – за Комитета за национално помирение</w:t>
      </w:r>
    </w:p>
    <w:p w14:paraId="730821E5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НОРА АНАНИЕВА – за Демократичния съюз на жените</w:t>
      </w:r>
    </w:p>
    <w:p w14:paraId="1A09470E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ПЕТЪР БЕРОН – за Независимо сдружение „ Екогласност"</w:t>
      </w:r>
    </w:p>
    <w:p w14:paraId="70F7971C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ПЕТКО СИМЕОНОВ – за Федерацията на клубовете за гласност и демокрация</w:t>
      </w:r>
    </w:p>
    <w:p w14:paraId="656D01C2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ПЕТЪР ДЕРТЛИЕВ – за Българската социалдемократическа партия</w:t>
      </w:r>
    </w:p>
    <w:p w14:paraId="21E96198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РОСЕН КАРАДИМОВ – за Българска демократична младеж</w:t>
      </w:r>
    </w:p>
    <w:p w14:paraId="1151D033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РУМЕН ВОДЕНИЧАРОВ – за Независимото дружество за защита правата на човека</w:t>
      </w:r>
    </w:p>
    <w:p w14:paraId="0AACEF0D" w14:textId="77777777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ТАНИ ТАНЕВ – за Съюза на бойците против фашизма и капитализма</w:t>
      </w:r>
    </w:p>
    <w:p w14:paraId="2F474EAC" w14:textId="275B73E1" w:rsidR="00FC1D29" w:rsidRPr="00FC1D29" w:rsidRDefault="00FC1D29" w:rsidP="00FC1D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1D29">
        <w:rPr>
          <w:rFonts w:ascii="Times New Roman" w:eastAsia="Times New Roman" w:hAnsi="Times New Roman" w:cs="Times New Roman"/>
          <w:color w:val="000000"/>
          <w:lang w:eastAsia="bg-BG"/>
        </w:rPr>
        <w:t>йеромонах ХРИСТОФОР СЪБЕВ – за Комитета за защита на религиозните права, свободата на съвестта и духовните ценности</w:t>
      </w:r>
    </w:p>
    <w:sectPr w:rsidR="00FC1D29" w:rsidRPr="00FC1D29" w:rsidSect="002B75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2C43"/>
    <w:multiLevelType w:val="hybridMultilevel"/>
    <w:tmpl w:val="16D8E432"/>
    <w:lvl w:ilvl="0" w:tplc="E5AC80B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156E8BB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00558D"/>
    <w:multiLevelType w:val="hybridMultilevel"/>
    <w:tmpl w:val="8D96283C"/>
    <w:lvl w:ilvl="0" w:tplc="E196F286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  <w:color w:val="009999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35"/>
    <w:rsid w:val="002B7535"/>
    <w:rsid w:val="00497391"/>
    <w:rsid w:val="00646BF5"/>
    <w:rsid w:val="00800C4B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9F3FF"/>
  <w15:chartTrackingRefBased/>
  <w15:docId w15:val="{99CF8678-C2EE-43FD-95AE-FF99291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535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B7535"/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2B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4</cp:revision>
  <dcterms:created xsi:type="dcterms:W3CDTF">2021-08-28T15:22:00Z</dcterms:created>
  <dcterms:modified xsi:type="dcterms:W3CDTF">2021-10-12T11:59:00Z</dcterms:modified>
</cp:coreProperties>
</file>